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2B78" w14:textId="77777777" w:rsidR="00202BAA" w:rsidRDefault="00202BAA" w:rsidP="00202BAA">
      <w:pPr>
        <w:pStyle w:val="Heading1"/>
        <w:spacing w:before="0"/>
        <w:jc w:val="center"/>
        <w:rPr>
          <w:u w:val="single"/>
        </w:rPr>
      </w:pPr>
      <w:r>
        <w:rPr>
          <w:u w:val="single"/>
        </w:rPr>
        <w:t>Engineering Specification</w:t>
      </w:r>
    </w:p>
    <w:p w14:paraId="545E8704" w14:textId="77777777" w:rsidR="00202BAA" w:rsidRDefault="00202BAA" w:rsidP="00202BAA">
      <w:pPr>
        <w:pStyle w:val="Heading1"/>
        <w:spacing w:before="0"/>
        <w:jc w:val="center"/>
        <w:rPr>
          <w:u w:val="single"/>
        </w:rPr>
      </w:pPr>
      <w:r>
        <w:rPr>
          <w:u w:val="single"/>
        </w:rPr>
        <w:t xml:space="preserve">Reliable DDX-LP </w:t>
      </w:r>
      <w:proofErr w:type="spellStart"/>
      <w:r>
        <w:rPr>
          <w:u w:val="single"/>
        </w:rPr>
        <w:t>PrePaK</w:t>
      </w:r>
      <w:proofErr w:type="spellEnd"/>
      <w:r>
        <w:rPr>
          <w:u w:val="single"/>
        </w:rPr>
        <w:t xml:space="preserve"> Assembled Unit with Integral Nitrogen Generator</w:t>
      </w:r>
    </w:p>
    <w:p w14:paraId="496E77FF" w14:textId="77777777" w:rsidR="00202BAA" w:rsidRDefault="00202BAA" w:rsidP="00202BAA">
      <w:pPr>
        <w:pStyle w:val="Date"/>
        <w:rPr>
          <w:rFonts w:ascii="Arial" w:hAnsi="Arial" w:cs="Arial"/>
        </w:rPr>
      </w:pPr>
    </w:p>
    <w:p w14:paraId="2DFE5FC8" w14:textId="77777777" w:rsidR="00202BAA" w:rsidRDefault="00202BAA" w:rsidP="00202BAA">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16, Dry-Pipe Sprinkler Systems (formerly 13935)</w:t>
      </w:r>
    </w:p>
    <w:p w14:paraId="12AD55F3" w14:textId="77777777" w:rsidR="00202BAA" w:rsidRDefault="00202BAA" w:rsidP="00202BAA">
      <w:pPr>
        <w:tabs>
          <w:tab w:val="left" w:pos="8280"/>
        </w:tabs>
        <w:rPr>
          <w:rFonts w:ascii="Arial" w:hAnsi="Arial" w:cs="Arial"/>
        </w:rPr>
      </w:pPr>
    </w:p>
    <w:p w14:paraId="1EC6FA09" w14:textId="77777777" w:rsidR="00202BAA" w:rsidRDefault="00202BAA" w:rsidP="00202BAA">
      <w:pPr>
        <w:tabs>
          <w:tab w:val="left" w:pos="8280"/>
        </w:tabs>
        <w:jc w:val="both"/>
        <w:rPr>
          <w:rFonts w:ascii="Arial" w:hAnsi="Arial" w:cs="Arial"/>
        </w:rPr>
      </w:pPr>
      <w:r>
        <w:rPr>
          <w:rFonts w:ascii="Arial" w:hAnsi="Arial" w:cs="Arial"/>
        </w:rPr>
        <w:t xml:space="preserve">A self-contained, fully integrated low-pressure dry-pipe sprinkler system complete with automatic nitrogen generator shall be provided.  The system must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shd w:val="clear" w:color="auto" w:fill="FFFFFF"/>
        </w:rPr>
        <w:t xml:space="preserve">] </w:t>
      </w:r>
      <w:r>
        <w:rPr>
          <w:rFonts w:ascii="Arial" w:hAnsi="Arial" w:cs="Arial"/>
          <w:b/>
          <w:bCs/>
        </w:rPr>
        <w:t>[</w:t>
      </w:r>
      <w:r>
        <w:rPr>
          <w:rFonts w:ascii="Arial" w:hAnsi="Arial" w:cs="Arial"/>
        </w:rPr>
        <w:t>FM Approved</w:t>
      </w:r>
      <w:r>
        <w:rPr>
          <w:rFonts w:ascii="Arial" w:hAnsi="Arial" w:cs="Arial"/>
          <w:b/>
          <w:bCs/>
        </w:rPr>
        <w:t>]</w:t>
      </w:r>
      <w:r>
        <w:rPr>
          <w:rFonts w:ascii="Arial" w:hAnsi="Arial" w:cs="Arial"/>
        </w:rPr>
        <w:t xml:space="preserve"> components within a cabinet specifically designed for the intended use as an assembled unit, containing all the factory installed hydraulic and electrical components, fittings, gauges, mechanical couplings and supervisory air 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bCs/>
        </w:rPr>
        <w:t>[</w:t>
      </w:r>
      <w:r>
        <w:rPr>
          <w:rFonts w:ascii="Arial" w:hAnsi="Arial" w:cs="Arial"/>
        </w:rPr>
        <w:t>year</w:t>
      </w:r>
      <w:r>
        <w:rPr>
          <w:rFonts w:ascii="Arial" w:hAnsi="Arial" w:cs="Arial"/>
          <w:b/>
          <w:bCs/>
        </w:rPr>
        <w:t>]</w:t>
      </w:r>
      <w:r>
        <w:rPr>
          <w:rFonts w:ascii="Arial" w:hAnsi="Arial" w:cs="Arial"/>
        </w:rPr>
        <w:t xml:space="preserve"> edition.</w:t>
      </w:r>
    </w:p>
    <w:p w14:paraId="5272EBEF" w14:textId="77777777" w:rsidR="00202BAA" w:rsidRDefault="00202BAA" w:rsidP="00202BAA">
      <w:pPr>
        <w:tabs>
          <w:tab w:val="left" w:pos="8280"/>
        </w:tabs>
        <w:jc w:val="both"/>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dry-pipe system riser assembly with galvanized trim.  Cabinet size shall be limited to an area of 7 ft</w:t>
      </w:r>
      <w:r>
        <w:rPr>
          <w:rFonts w:ascii="Arial" w:hAnsi="Arial" w:cs="Arial"/>
          <w:vertAlign w:val="superscript"/>
        </w:rPr>
        <w:t>2</w:t>
      </w:r>
      <w:r>
        <w:rPr>
          <w:rFonts w:ascii="Arial" w:hAnsi="Arial" w:cs="Arial"/>
        </w:rPr>
        <w:t xml:space="preserve">. The cabinet shall be 12-gauge steel with rustproof exterior powder-coated black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and system pressure gauges that are securely mounted.  </w:t>
      </w:r>
    </w:p>
    <w:p w14:paraId="1DD2004D" w14:textId="77777777" w:rsidR="00202BAA" w:rsidRDefault="00202BAA" w:rsidP="00202BAA">
      <w:pPr>
        <w:jc w:val="both"/>
        <w:rPr>
          <w:rFonts w:ascii="Arial" w:hAnsi="Arial" w:cs="Arial"/>
        </w:rPr>
      </w:pPr>
      <w:r>
        <w:rPr>
          <w:rFonts w:ascii="Arial" w:hAnsi="Arial" w:cs="Arial"/>
        </w:rPr>
        <w:t xml:space="preserve">The low-pressure dry-pipe system riser assembly shall include a properly sized water control valve, water supply manifold and drain manifold with grooved end connections, system drain, grooved end system control indicating butterfly valve with a pre-wired supervisory tamper switch assembly, grooved-end system discharge outlet, and associated pneumatic actuation release trim listed as part of the dry-pipe valve assembly.  Dry valve trim shall be galvanized and shall consist of all components necessary to enable the system to be used as a low-pressure system.  These components include a low-pressure dry pilot actuator, main drain, alarm line test, water pressure gauges, push rod chamber supply connections, manual emergency release valve, pressurizing line connection, and closed drain assembly.  A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Low air supervisory and water flow alarm pressure switches shall be included as part of this assembly.  </w:t>
      </w:r>
    </w:p>
    <w:p w14:paraId="1C624099" w14:textId="77777777" w:rsidR="00202BAA" w:rsidRDefault="00202BAA" w:rsidP="00202BAA">
      <w:pPr>
        <w:jc w:val="both"/>
        <w:rPr>
          <w:rFonts w:ascii="Arial" w:hAnsi="Arial" w:cs="Arial"/>
        </w:rPr>
      </w:pPr>
      <w:r>
        <w:rPr>
          <w:rFonts w:ascii="Arial" w:hAnsi="Arial" w:cs="Arial"/>
        </w:rPr>
        <w:t xml:space="preserve">Supervisory gas supply shall be provided by an integral nitrogen generation unit located within the cabinet.  Dry-pipe system supervisory nitrogen shall be regulated through a regulating pressure maintenance device set to a pressure of 8 psi – 24 psi (0.6 bar – 1.7 bar). A 120/220 VAC watertight terminal box mounted inside the cabinet shall be provided for power connection to the air compressor. Wiring of control valve supervisory switch, low pressure alarm switch, waterflow alarm pressure switch, and optional low nitrogen pressure switch shall be translated to a watertight terminal box mounted inside the cabinet.  All field wiring shall be connected to these boxes.  </w:t>
      </w:r>
    </w:p>
    <w:p w14:paraId="3AD19FCD" w14:textId="77777777" w:rsidR="00202BAA" w:rsidRDefault="00202BAA" w:rsidP="00202BAA">
      <w:pPr>
        <w:jc w:val="both"/>
        <w:rPr>
          <w:rFonts w:ascii="Arial" w:hAnsi="Arial" w:cs="Arial"/>
        </w:rPr>
      </w:pPr>
    </w:p>
    <w:p w14:paraId="0054F106" w14:textId="77777777" w:rsidR="00202BAA" w:rsidRDefault="00202BAA" w:rsidP="00202BAA">
      <w:pPr>
        <w:jc w:val="both"/>
        <w:rPr>
          <w:rFonts w:ascii="Arial" w:hAnsi="Arial" w:cs="Arial"/>
        </w:rPr>
      </w:pPr>
      <w:r>
        <w:rPr>
          <w:rFonts w:ascii="Arial" w:hAnsi="Arial" w:cs="Arial"/>
        </w:rPr>
        <w:t xml:space="preserve">Assembled unit dry-pipe system to be </w:t>
      </w:r>
      <w:r>
        <w:rPr>
          <w:rFonts w:ascii="Arial" w:hAnsi="Arial" w:cs="Arial"/>
          <w:b/>
          <w:bCs/>
        </w:rPr>
        <w:t>[</w:t>
      </w:r>
      <w:r>
        <w:rPr>
          <w:rFonts w:ascii="Arial" w:hAnsi="Arial" w:cs="Arial"/>
        </w:rPr>
        <w:t>2”</w:t>
      </w:r>
      <w:r>
        <w:rPr>
          <w:rFonts w:ascii="Arial" w:hAnsi="Arial" w:cs="Arial"/>
          <w:b/>
          <w:bCs/>
        </w:rPr>
        <w:t>] [</w:t>
      </w:r>
      <w:r>
        <w:rPr>
          <w:rFonts w:ascii="Arial" w:hAnsi="Arial" w:cs="Arial"/>
        </w:rPr>
        <w:t>2½”</w:t>
      </w:r>
      <w:r>
        <w:rPr>
          <w:rFonts w:ascii="Arial" w:hAnsi="Arial" w:cs="Arial"/>
          <w:b/>
          <w:bCs/>
        </w:rPr>
        <w:t>] [</w:t>
      </w:r>
      <w:r>
        <w:rPr>
          <w:rFonts w:ascii="Arial" w:hAnsi="Arial" w:cs="Arial"/>
        </w:rPr>
        <w:t>3”</w:t>
      </w:r>
      <w:r>
        <w:rPr>
          <w:rFonts w:ascii="Arial" w:hAnsi="Arial" w:cs="Arial"/>
          <w:b/>
          <w:bCs/>
        </w:rPr>
        <w:t>] [</w:t>
      </w:r>
      <w:r>
        <w:rPr>
          <w:rFonts w:ascii="Arial" w:hAnsi="Arial" w:cs="Arial"/>
        </w:rPr>
        <w:t>4”</w:t>
      </w:r>
      <w:r>
        <w:rPr>
          <w:rFonts w:ascii="Arial" w:hAnsi="Arial" w:cs="Arial"/>
          <w:b/>
          <w:bCs/>
        </w:rPr>
        <w:t xml:space="preserve">] </w:t>
      </w:r>
      <w:r>
        <w:rPr>
          <w:rFonts w:ascii="Arial" w:hAnsi="Arial" w:cs="Arial"/>
        </w:rPr>
        <w:t xml:space="preserve">Reliable Model DDX-LP N2-Blast </w:t>
      </w:r>
      <w:proofErr w:type="spellStart"/>
      <w:r>
        <w:rPr>
          <w:rFonts w:ascii="Arial" w:hAnsi="Arial" w:cs="Arial"/>
        </w:rPr>
        <w:t>PrePaK</w:t>
      </w:r>
      <w:proofErr w:type="spellEnd"/>
      <w:r>
        <w:rPr>
          <w:rFonts w:ascii="Arial" w:hAnsi="Arial" w:cs="Arial"/>
        </w:rPr>
        <w:t>. Refer to Reliable Bulletin 737 for associated information.</w:t>
      </w:r>
    </w:p>
    <w:p w14:paraId="55AF1293" w14:textId="77777777" w:rsidR="00202BAA" w:rsidRDefault="00202BAA" w:rsidP="00202BAA">
      <w:pPr>
        <w:rPr>
          <w:rFonts w:ascii="Arial" w:hAnsi="Arial" w:cs="Arial"/>
        </w:rPr>
      </w:pPr>
    </w:p>
    <w:p w14:paraId="38686F5D" w14:textId="77777777" w:rsidR="00202BAA" w:rsidRDefault="00202BAA" w:rsidP="00202BAA">
      <w:pPr>
        <w:pStyle w:val="Heading3"/>
        <w:rPr>
          <w:rFonts w:ascii="Arial" w:hAnsi="Arial" w:cs="Arial"/>
          <w:b/>
          <w:color w:val="auto"/>
        </w:rPr>
      </w:pPr>
      <w:r>
        <w:rPr>
          <w:rFonts w:ascii="Arial" w:hAnsi="Arial" w:cs="Arial"/>
          <w:b/>
          <w:iCs/>
          <w:color w:val="auto"/>
          <w:u w:val="single"/>
        </w:rPr>
        <w:lastRenderedPageBreak/>
        <w:t>Dry-Pipe Valve</w:t>
      </w:r>
    </w:p>
    <w:p w14:paraId="19852279" w14:textId="77777777" w:rsidR="00202BAA" w:rsidRDefault="00202BAA" w:rsidP="00202BAA">
      <w:pPr>
        <w:jc w:val="both"/>
        <w:rPr>
          <w:rFonts w:ascii="Arial" w:hAnsi="Arial" w:cs="Arial"/>
        </w:rPr>
      </w:pPr>
      <w:r>
        <w:rPr>
          <w:rFonts w:ascii="Arial" w:hAnsi="Arial" w:cs="Arial"/>
        </w:rPr>
        <w:t xml:space="preserve">Dry-pipe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dry-pipe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Trim components shall include 2”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Dry-pipe valve releasing device shall be a low pneumatic pressure dry pilot actuator of cast iron construction, utilizing a diaphragm and compression spring design to separate the push-rod chamber water pressure from the system piping pneumatic supervisory pressure.  The low-pressure actuator shall require a minimum of 8 psi (0.6 bar) and a maximum of 28 psi (1.9 bar) supervisory pressure for proper setting in accordance with the manufacturer’s instructions. </w:t>
      </w:r>
      <w:proofErr w:type="gramStart"/>
      <w:r>
        <w:rPr>
          <w:rFonts w:ascii="Arial" w:hAnsi="Arial" w:cs="Arial"/>
        </w:rPr>
        <w:t>Low</w:t>
      </w:r>
      <w:proofErr w:type="gramEnd"/>
      <w:r>
        <w:rPr>
          <w:rFonts w:ascii="Arial" w:hAnsi="Arial" w:cs="Arial"/>
        </w:rPr>
        <w:t xml:space="preserve">-pressure actuator shall be the Reliable Model LP actuator (Reliable Bulletin 505).  Dry-pipe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xml:space="preserve">] </w:t>
      </w:r>
      <w:r>
        <w:rPr>
          <w:rFonts w:ascii="Arial" w:hAnsi="Arial" w:cs="Arial"/>
        </w:rPr>
        <w:t xml:space="preserve">with grooved end connections per ANSI/AWWA C606. </w:t>
      </w:r>
      <w:proofErr w:type="gramStart"/>
      <w:r>
        <w:rPr>
          <w:rFonts w:ascii="Arial" w:hAnsi="Arial" w:cs="Arial"/>
        </w:rPr>
        <w:t>Dry</w:t>
      </w:r>
      <w:proofErr w:type="gramEnd"/>
      <w:r>
        <w:rPr>
          <w:rFonts w:ascii="Arial" w:hAnsi="Arial" w:cs="Arial"/>
        </w:rPr>
        <w:t>-pipe valve shall be the Reliable Model DDX-LP. Refer to Reliable Bulletin 338 for associated information.</w:t>
      </w:r>
    </w:p>
    <w:p w14:paraId="23882DB6" w14:textId="77777777" w:rsidR="00202BAA" w:rsidRDefault="00202BAA" w:rsidP="00202BAA">
      <w:pPr>
        <w:rPr>
          <w:rFonts w:ascii="Arial" w:hAnsi="Arial" w:cs="Arial"/>
          <w:b/>
          <w:bCs/>
          <w:u w:val="single"/>
        </w:rPr>
      </w:pPr>
    </w:p>
    <w:p w14:paraId="3A4E69F9" w14:textId="77777777" w:rsidR="00202BAA" w:rsidRDefault="00202BAA" w:rsidP="00202BAA">
      <w:pPr>
        <w:jc w:val="center"/>
        <w:rPr>
          <w:rFonts w:ascii="Arial" w:hAnsi="Arial" w:cs="Arial"/>
          <w:b/>
          <w:bCs/>
        </w:rPr>
      </w:pPr>
      <w:r>
        <w:rPr>
          <w:rFonts w:ascii="Arial" w:hAnsi="Arial" w:cs="Arial"/>
          <w:b/>
          <w:bCs/>
        </w:rPr>
        <w:t>SYSTEM COMPONENTS:</w:t>
      </w:r>
    </w:p>
    <w:p w14:paraId="6D443A8A" w14:textId="77777777" w:rsidR="00202BAA" w:rsidRDefault="00202BAA" w:rsidP="00202BAA">
      <w:pPr>
        <w:jc w:val="center"/>
        <w:rPr>
          <w:rFonts w:ascii="Arial" w:hAnsi="Arial" w:cs="Arial"/>
        </w:rPr>
      </w:pPr>
    </w:p>
    <w:p w14:paraId="6D86AC1A" w14:textId="77777777" w:rsidR="00202BAA" w:rsidRDefault="00202BAA" w:rsidP="00202BAA">
      <w:pPr>
        <w:pStyle w:val="Heading3"/>
        <w:rPr>
          <w:rFonts w:ascii="Arial" w:hAnsi="Arial" w:cs="Arial"/>
          <w:b/>
          <w:iCs/>
          <w:color w:val="auto"/>
        </w:rPr>
      </w:pPr>
      <w:r>
        <w:rPr>
          <w:rFonts w:ascii="Arial" w:hAnsi="Arial" w:cs="Arial"/>
          <w:b/>
          <w:iCs/>
          <w:color w:val="auto"/>
          <w:u w:val="single"/>
        </w:rPr>
        <w:t>System Control Valve</w:t>
      </w:r>
    </w:p>
    <w:p w14:paraId="628557E8" w14:textId="77777777" w:rsidR="00202BAA" w:rsidRDefault="00202BAA" w:rsidP="00202BAA">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 (50mm)</w:t>
      </w:r>
      <w:r>
        <w:rPr>
          <w:rFonts w:ascii="Arial" w:hAnsi="Arial" w:cs="Arial"/>
          <w:b/>
          <w:bCs/>
        </w:rPr>
        <w:t>]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308A3FDD" w14:textId="77777777" w:rsidR="00202BAA" w:rsidRDefault="00202BAA" w:rsidP="00202BAA">
      <w:pPr>
        <w:jc w:val="both"/>
        <w:rPr>
          <w:rFonts w:ascii="Arial" w:hAnsi="Arial" w:cs="Arial"/>
        </w:rPr>
      </w:pPr>
      <w:r>
        <w:rPr>
          <w:rFonts w:ascii="Arial" w:hAnsi="Arial" w:cs="Arial"/>
        </w:rPr>
        <w:lastRenderedPageBreak/>
        <w:t>The grooved water supply control valve shall be a Reliable Model BFG 300 Butterfly Valve. Refer to Reliable Bulletin 831 for associated information.</w:t>
      </w:r>
    </w:p>
    <w:p w14:paraId="42C0E04B" w14:textId="77777777" w:rsidR="00202BAA" w:rsidRDefault="00202BAA" w:rsidP="00202BAA">
      <w:pPr>
        <w:rPr>
          <w:rFonts w:ascii="Arial" w:hAnsi="Arial" w:cs="Arial"/>
        </w:rPr>
      </w:pPr>
    </w:p>
    <w:p w14:paraId="7C69835F" w14:textId="77777777" w:rsidR="00202BAA" w:rsidRDefault="00202BAA" w:rsidP="00202BAA">
      <w:pPr>
        <w:pStyle w:val="Heading3"/>
        <w:tabs>
          <w:tab w:val="left" w:pos="720"/>
        </w:tabs>
        <w:jc w:val="both"/>
        <w:rPr>
          <w:rFonts w:ascii="Arial" w:hAnsi="Arial" w:cs="Arial"/>
          <w:b/>
          <w:iCs/>
          <w:color w:val="auto"/>
        </w:rPr>
      </w:pPr>
      <w:r>
        <w:rPr>
          <w:rFonts w:ascii="Arial" w:hAnsi="Arial" w:cs="Arial"/>
          <w:b/>
          <w:iCs/>
          <w:color w:val="auto"/>
          <w:u w:val="single"/>
        </w:rPr>
        <w:t>Dry Pilot Actuator</w:t>
      </w:r>
    </w:p>
    <w:p w14:paraId="76E1C374" w14:textId="77777777" w:rsidR="00202BAA" w:rsidRDefault="00202BAA" w:rsidP="00202BAA">
      <w:pPr>
        <w:jc w:val="both"/>
        <w:rPr>
          <w:rFonts w:ascii="Arial" w:hAnsi="Arial" w:cs="Arial"/>
        </w:rPr>
      </w:pPr>
      <w:r>
        <w:rPr>
          <w:rFonts w:ascii="Arial" w:hAnsi="Arial" w:cs="Arial"/>
        </w:rPr>
        <w:t>The low-pressure pneumatic actuator shall be of cast iron construction utilizing a diaphragm and compression spring design to separate the push-rod chamber water pressure from the system piping pneumatic supervisory pressure.  The low-pressure actuator shall require a minimum of 8 and a maximum of 28 psi (0,6 to 1,9 bar) supervisory pressure for proper setting in accordance with the manufacturer’s instructions.  Low-pressure actuator shall be Reliable Model LP actuator.</w:t>
      </w:r>
    </w:p>
    <w:p w14:paraId="4E14215E" w14:textId="77777777" w:rsidR="00202BAA" w:rsidRDefault="00202BAA" w:rsidP="00202BAA">
      <w:pPr>
        <w:pStyle w:val="Heading3"/>
        <w:rPr>
          <w:rFonts w:ascii="Arial" w:hAnsi="Arial" w:cs="Arial"/>
          <w:b/>
          <w:iCs/>
          <w:color w:val="auto"/>
          <w:u w:val="single"/>
        </w:rPr>
      </w:pPr>
    </w:p>
    <w:p w14:paraId="7550E019" w14:textId="77777777" w:rsidR="00202BAA" w:rsidRDefault="00202BAA" w:rsidP="00202BAA">
      <w:pPr>
        <w:pStyle w:val="Heading3"/>
        <w:jc w:val="both"/>
        <w:rPr>
          <w:rFonts w:ascii="Arial" w:hAnsi="Arial" w:cs="Arial"/>
          <w:b/>
          <w:color w:val="auto"/>
        </w:rPr>
      </w:pPr>
      <w:r>
        <w:rPr>
          <w:rFonts w:ascii="Arial" w:hAnsi="Arial" w:cs="Arial"/>
          <w:b/>
          <w:iCs/>
          <w:color w:val="auto"/>
          <w:u w:val="single"/>
        </w:rPr>
        <w:t>Supervisory Nitrogen Supply</w:t>
      </w:r>
    </w:p>
    <w:p w14:paraId="3AB20DD4" w14:textId="77777777" w:rsidR="00202BAA" w:rsidRDefault="00202BAA" w:rsidP="00202BAA">
      <w:pPr>
        <w:jc w:val="both"/>
        <w:rPr>
          <w:rFonts w:ascii="Arial" w:hAnsi="Arial" w:cs="Arial"/>
        </w:rPr>
      </w:pPr>
      <w:r>
        <w:rPr>
          <w:rFonts w:ascii="Arial" w:hAnsi="Arial" w:cs="Arial"/>
        </w:rPr>
        <w:t xml:space="preserve">The Nitrogen Generation System shall be South-Tek Systems model FPS-900 and shall have an oil-less air compressor located within the </w:t>
      </w:r>
      <w:proofErr w:type="spellStart"/>
      <w:r>
        <w:rPr>
          <w:rFonts w:ascii="Arial" w:hAnsi="Arial" w:cs="Arial"/>
        </w:rPr>
        <w:t>PrePaK</w:t>
      </w:r>
      <w:proofErr w:type="spellEnd"/>
      <w:r>
        <w:rPr>
          <w:rFonts w:ascii="Arial" w:hAnsi="Arial" w:cs="Arial"/>
        </w:rPr>
        <w:t xml:space="preserve"> </w:t>
      </w:r>
      <w:proofErr w:type="spellStart"/>
      <w:r>
        <w:rPr>
          <w:rFonts w:ascii="Arial" w:hAnsi="Arial" w:cs="Arial"/>
        </w:rPr>
        <w:t>Preaction</w:t>
      </w:r>
      <w:proofErr w:type="spellEnd"/>
      <w:r>
        <w:rPr>
          <w:rFonts w:ascii="Arial" w:hAnsi="Arial" w:cs="Arial"/>
        </w:rPr>
        <w:t xml:space="preserve"> cabinet.  The system shall provide a minimum of 98% Nitrogen purity to the fire protection system utilizing Pressure Swing Adsorption (PSA) nitrogen separation and must be </w:t>
      </w:r>
      <w:r>
        <w:rPr>
          <w:rFonts w:ascii="Arial" w:hAnsi="Arial" w:cs="Arial"/>
          <w:i/>
        </w:rPr>
        <w:t>UL 508A - Industrial Control Panel Listed.</w:t>
      </w:r>
    </w:p>
    <w:p w14:paraId="5BC94379" w14:textId="77777777" w:rsidR="00202BAA" w:rsidRDefault="00202BAA" w:rsidP="00202BAA">
      <w:pPr>
        <w:jc w:val="both"/>
        <w:rPr>
          <w:rFonts w:ascii="Arial" w:hAnsi="Arial" w:cs="Arial"/>
        </w:rPr>
      </w:pPr>
      <w:r>
        <w:rPr>
          <w:rFonts w:ascii="Arial" w:hAnsi="Arial" w:cs="Arial"/>
        </w:rPr>
        <w:t xml:space="preserve">The Nitrogen Generation System shall be sized to maintain </w:t>
      </w:r>
      <w:proofErr w:type="gramStart"/>
      <w:r>
        <w:rPr>
          <w:rFonts w:ascii="Arial" w:hAnsi="Arial" w:cs="Arial"/>
        </w:rPr>
        <w:t>NFPA</w:t>
      </w:r>
      <w:proofErr w:type="gramEnd"/>
      <w:r>
        <w:rPr>
          <w:rFonts w:ascii="Arial" w:hAnsi="Arial" w:cs="Arial"/>
        </w:rPr>
        <w:t xml:space="preserve"> 25 acceptable leak rate (3 PSI loss over 2 Hours).</w:t>
      </w:r>
    </w:p>
    <w:p w14:paraId="532E6168" w14:textId="77777777" w:rsidR="00202BAA" w:rsidRDefault="00202BAA" w:rsidP="00202BAA">
      <w:pPr>
        <w:jc w:val="both"/>
        <w:rPr>
          <w:rFonts w:ascii="Arial" w:hAnsi="Arial" w:cs="Arial"/>
        </w:rPr>
      </w:pPr>
      <w:r>
        <w:rPr>
          <w:rFonts w:ascii="Arial" w:hAnsi="Arial" w:cs="Arial"/>
        </w:rPr>
        <w:t xml:space="preserve">The Nitrogen Generation System shall be provided with the integrated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Series alarms. These alarms shall be programmed into the PLC and connected to the Building Monitoring System (BMS), if applicable. The connection shall contain an isolated dry contact rated up to 240VAC 16 amps (NC &amp; NO Contacts available).  The Fire Sprinkler Contractor shall run a DC or AC signal line in code approved electrical conduit from the Nitrogen Generation System to the supervisory circuit on the Building Monitoring System.</w:t>
      </w:r>
    </w:p>
    <w:p w14:paraId="355BB490" w14:textId="77777777" w:rsidR="00202BAA" w:rsidRDefault="00202BAA" w:rsidP="00202BAA">
      <w:pPr>
        <w:jc w:val="both"/>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 - </w:t>
      </w:r>
      <w:r>
        <w:rPr>
          <w:rFonts w:ascii="Arial" w:hAnsi="Arial" w:cs="Arial"/>
          <w:i/>
        </w:rPr>
        <w:t>Leak Detection System</w:t>
      </w:r>
      <w:r>
        <w:rPr>
          <w:rFonts w:ascii="Arial" w:hAnsi="Arial" w:cs="Arial"/>
        </w:rPr>
        <w:t xml:space="preserve"> shall alarm should significant leaks develop within the fire protection system piping, prior to them becoming catastrophic and causing supervisory pressure to fall below specification.  The leaks shall be addressed immediately by the Fire Sprinkler Contractor in order to minimize unnecessary runtime on the Nitrogen Generation System.</w:t>
      </w:r>
    </w:p>
    <w:p w14:paraId="1A2AD3BA" w14:textId="77777777" w:rsidR="00202BAA" w:rsidRDefault="00202BAA" w:rsidP="00202BAA">
      <w:pPr>
        <w:jc w:val="both"/>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II - </w:t>
      </w:r>
      <w:r>
        <w:rPr>
          <w:rFonts w:ascii="Arial" w:hAnsi="Arial" w:cs="Arial"/>
          <w:i/>
        </w:rPr>
        <w:t>Air Bypass Alarm</w:t>
      </w:r>
      <w:r>
        <w:rPr>
          <w:rFonts w:ascii="Arial" w:hAnsi="Arial" w:cs="Arial"/>
        </w:rPr>
        <w:t xml:space="preserve"> shall alarm should the Nitrogen Generation System be bypassed by the air compressor.  </w:t>
      </w:r>
    </w:p>
    <w:p w14:paraId="7809511F" w14:textId="77777777" w:rsidR="00202BAA" w:rsidRDefault="00202BAA" w:rsidP="00202BAA">
      <w:pPr>
        <w:jc w:val="both"/>
        <w:rPr>
          <w:rFonts w:ascii="Arial" w:hAnsi="Arial" w:cs="Arial"/>
        </w:rPr>
      </w:pPr>
    </w:p>
    <w:p w14:paraId="187A0834" w14:textId="77777777" w:rsidR="00202BAA" w:rsidRDefault="00202BAA" w:rsidP="00202BAA">
      <w:pPr>
        <w:jc w:val="both"/>
        <w:rPr>
          <w:rFonts w:ascii="Arial" w:hAnsi="Arial" w:cs="Arial"/>
          <w:i/>
        </w:rPr>
      </w:pPr>
      <w:proofErr w:type="spellStart"/>
      <w:r>
        <w:rPr>
          <w:rFonts w:ascii="Arial" w:hAnsi="Arial" w:cs="Arial"/>
          <w:b/>
          <w:bCs/>
          <w:iCs/>
          <w:u w:val="single"/>
        </w:rPr>
        <w:t>AutoPurge</w:t>
      </w:r>
      <w:proofErr w:type="spellEnd"/>
      <w:r>
        <w:rPr>
          <w:rFonts w:ascii="Arial" w:hAnsi="Arial" w:cs="Arial"/>
          <w:b/>
          <w:bCs/>
          <w:iCs/>
          <w:u w:val="single"/>
        </w:rPr>
        <w:t xml:space="preserve"> System</w:t>
      </w:r>
    </w:p>
    <w:p w14:paraId="1C9962C6" w14:textId="77777777" w:rsidR="00202BAA" w:rsidRDefault="00202BAA" w:rsidP="00202BAA">
      <w:pPr>
        <w:jc w:val="both"/>
        <w:rPr>
          <w:rFonts w:ascii="Arial" w:hAnsi="Arial" w:cs="Arial"/>
          <w:i/>
        </w:rPr>
      </w:pPr>
      <w:r>
        <w:rPr>
          <w:rFonts w:ascii="Arial" w:hAnsi="Arial" w:cs="Arial"/>
        </w:rPr>
        <w:t xml:space="preserve">A single South-Tek Systems -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be installed per zone, within the sprinkler pipe network, at an area where water/moisture will not typically collect. </w:t>
      </w:r>
    </w:p>
    <w:p w14:paraId="436EFC07" w14:textId="77777777" w:rsidR="00202BAA" w:rsidRDefault="00202BAA" w:rsidP="00202BAA">
      <w:pPr>
        <w:jc w:val="both"/>
        <w:rPr>
          <w:rFonts w:ascii="Arial" w:hAnsi="Arial" w:cs="Arial"/>
          <w:i/>
        </w:rPr>
      </w:pPr>
      <w:r>
        <w:rPr>
          <w:rFonts w:ascii="Arial" w:hAnsi="Arial" w:cs="Arial"/>
        </w:rPr>
        <w:t xml:space="preserve">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is to be provided with a needle valve (</w:t>
      </w:r>
      <w:proofErr w:type="gramStart"/>
      <w:r>
        <w:rPr>
          <w:rFonts w:ascii="Arial" w:hAnsi="Arial" w:cs="Arial"/>
        </w:rPr>
        <w:t>i.e.</w:t>
      </w:r>
      <w:proofErr w:type="gramEnd"/>
      <w:r>
        <w:rPr>
          <w:rFonts w:ascii="Arial" w:hAnsi="Arial" w:cs="Arial"/>
        </w:rPr>
        <w:t xml:space="preserve"> flow control located on the front of the device) which allows correct purge rate per the manufacturer’s specifications to achieve 98% Nitrogen Purity within two weeks (14 days).</w:t>
      </w:r>
    </w:p>
    <w:p w14:paraId="13C777EE" w14:textId="77777777" w:rsidR="00202BAA" w:rsidRDefault="00202BAA" w:rsidP="00202BAA">
      <w:pPr>
        <w:jc w:val="both"/>
        <w:rPr>
          <w:rFonts w:ascii="Arial" w:hAnsi="Arial" w:cs="Arial"/>
          <w:i/>
        </w:rPr>
      </w:pPr>
      <w:r>
        <w:rPr>
          <w:rFonts w:ascii="Arial" w:hAnsi="Arial" w:cs="Arial"/>
        </w:rPr>
        <w:t xml:space="preserve">The purge device shall not require any electrical connection, AC or DC.  </w:t>
      </w:r>
    </w:p>
    <w:p w14:paraId="6650A1B4" w14:textId="77777777" w:rsidR="00202BAA" w:rsidRDefault="00202BAA" w:rsidP="00202BAA">
      <w:pPr>
        <w:jc w:val="both"/>
        <w:rPr>
          <w:rFonts w:ascii="Arial" w:hAnsi="Arial" w:cs="Arial"/>
        </w:rPr>
      </w:pPr>
      <w:r>
        <w:rPr>
          <w:rFonts w:ascii="Arial" w:hAnsi="Arial" w:cs="Arial"/>
        </w:rPr>
        <w:t xml:space="preserve">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have a connection allowing the Quick-Check</w:t>
      </w:r>
      <w:r>
        <w:rPr>
          <w:rFonts w:ascii="Arial" w:hAnsi="Arial" w:cs="Arial"/>
          <w:vertAlign w:val="superscript"/>
        </w:rPr>
        <w:t>®</w:t>
      </w:r>
      <w:r>
        <w:rPr>
          <w:rFonts w:ascii="Arial" w:hAnsi="Arial" w:cs="Arial"/>
        </w:rPr>
        <w:t xml:space="preserve"> - </w:t>
      </w:r>
      <w:r>
        <w:rPr>
          <w:rFonts w:ascii="Arial" w:hAnsi="Arial" w:cs="Arial"/>
          <w:i/>
        </w:rPr>
        <w:t xml:space="preserve">Portable Purity Sensor </w:t>
      </w:r>
      <w:r>
        <w:rPr>
          <w:rFonts w:ascii="Arial" w:hAnsi="Arial" w:cs="Arial"/>
        </w:rPr>
        <w:t>or</w:t>
      </w:r>
      <w:r>
        <w:rPr>
          <w:rFonts w:ascii="Arial" w:hAnsi="Arial" w:cs="Arial"/>
          <w:i/>
        </w:rPr>
        <w:t xml:space="preserve"> </w:t>
      </w:r>
      <w:r>
        <w:rPr>
          <w:rFonts w:ascii="Arial" w:hAnsi="Arial" w:cs="Arial"/>
        </w:rPr>
        <w:t>Quick-Check</w:t>
      </w:r>
      <w:r>
        <w:rPr>
          <w:rFonts w:ascii="Arial" w:hAnsi="Arial" w:cs="Arial"/>
          <w:vertAlign w:val="superscript"/>
        </w:rPr>
        <w:t>®</w:t>
      </w:r>
      <w:r>
        <w:rPr>
          <w:rFonts w:ascii="Arial" w:hAnsi="Arial" w:cs="Arial"/>
          <w:i/>
        </w:rPr>
        <w:t xml:space="preserve"> - Purity Manifold </w:t>
      </w:r>
      <w:r>
        <w:rPr>
          <w:rFonts w:ascii="Arial" w:hAnsi="Arial" w:cs="Arial"/>
        </w:rPr>
        <w:t>to connect for verifying Nitrogen purity within the Zone.</w:t>
      </w:r>
    </w:p>
    <w:p w14:paraId="4483B9D6" w14:textId="77777777" w:rsidR="00202BAA" w:rsidRDefault="00202BAA" w:rsidP="00202BAA">
      <w:pPr>
        <w:jc w:val="both"/>
        <w:rPr>
          <w:rFonts w:ascii="Arial" w:hAnsi="Arial" w:cs="Arial"/>
        </w:rPr>
      </w:pPr>
    </w:p>
    <w:p w14:paraId="2BF8A509" w14:textId="77777777" w:rsidR="00202BAA" w:rsidRDefault="00202BAA" w:rsidP="00202BAA">
      <w:pPr>
        <w:jc w:val="both"/>
        <w:rPr>
          <w:rFonts w:ascii="Arial" w:hAnsi="Arial" w:cs="Arial"/>
        </w:rPr>
      </w:pPr>
    </w:p>
    <w:p w14:paraId="39ABA7D3" w14:textId="77777777" w:rsidR="00202BAA" w:rsidRDefault="00202BAA" w:rsidP="00202BAA">
      <w:pPr>
        <w:jc w:val="both"/>
        <w:rPr>
          <w:rFonts w:ascii="Arial" w:hAnsi="Arial" w:cs="Arial"/>
        </w:rPr>
      </w:pPr>
    </w:p>
    <w:p w14:paraId="2E4274CB" w14:textId="77777777" w:rsidR="00202BAA" w:rsidRDefault="00202BAA" w:rsidP="00202BAA">
      <w:pPr>
        <w:jc w:val="both"/>
        <w:rPr>
          <w:rFonts w:ascii="Arial" w:hAnsi="Arial" w:cs="Arial"/>
          <w:i/>
        </w:rPr>
      </w:pPr>
    </w:p>
    <w:p w14:paraId="3E5851BB" w14:textId="77777777" w:rsidR="00202BAA" w:rsidRDefault="00202BAA" w:rsidP="00202BAA">
      <w:pPr>
        <w:pStyle w:val="ListParagraph"/>
        <w:ind w:left="0"/>
        <w:jc w:val="both"/>
        <w:rPr>
          <w:rFonts w:ascii="Arial" w:hAnsi="Arial" w:cs="Arial"/>
          <w:i/>
        </w:rPr>
      </w:pPr>
    </w:p>
    <w:p w14:paraId="5D443684" w14:textId="77777777" w:rsidR="00202BAA" w:rsidRDefault="00202BAA" w:rsidP="00202BAA">
      <w:pPr>
        <w:jc w:val="both"/>
        <w:rPr>
          <w:rFonts w:ascii="Arial" w:hAnsi="Arial" w:cs="Arial"/>
        </w:rPr>
      </w:pPr>
      <w:r>
        <w:rPr>
          <w:rFonts w:ascii="Arial" w:hAnsi="Arial" w:cs="Arial"/>
          <w:b/>
          <w:bCs/>
          <w:iCs/>
          <w:u w:val="single"/>
        </w:rPr>
        <w:lastRenderedPageBreak/>
        <w:t>Supervisory Gas Monitoring – Nitrogen Purity Sensors</w:t>
      </w:r>
    </w:p>
    <w:p w14:paraId="1CEC6004" w14:textId="77777777" w:rsidR="00202BAA" w:rsidRDefault="00202BAA" w:rsidP="00202BAA">
      <w:pPr>
        <w:jc w:val="both"/>
        <w:rPr>
          <w:rFonts w:ascii="Arial" w:hAnsi="Arial" w:cs="Arial"/>
          <w:i/>
        </w:rPr>
      </w:pPr>
      <w:r>
        <w:rPr>
          <w:rFonts w:ascii="Arial" w:hAnsi="Arial" w:cs="Arial"/>
        </w:rPr>
        <w:t>Furnish either (1) Quick-Check</w:t>
      </w:r>
      <w:r>
        <w:rPr>
          <w:rFonts w:ascii="Arial" w:hAnsi="Arial" w:cs="Arial"/>
          <w:i/>
          <w:vertAlign w:val="superscript"/>
        </w:rPr>
        <w:t>®</w:t>
      </w:r>
      <w:r>
        <w:rPr>
          <w:rFonts w:ascii="Arial" w:hAnsi="Arial" w:cs="Arial"/>
        </w:rPr>
        <w:t xml:space="preserve"> - </w:t>
      </w:r>
      <w:r>
        <w:rPr>
          <w:rFonts w:ascii="Arial" w:hAnsi="Arial" w:cs="Arial"/>
          <w:i/>
        </w:rPr>
        <w:t xml:space="preserve">Portable Handheld Nitrogen Purity Sensor </w:t>
      </w:r>
      <w:r>
        <w:rPr>
          <w:rFonts w:ascii="Arial" w:hAnsi="Arial" w:cs="Arial"/>
        </w:rPr>
        <w:t>per project and/or (1)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per project.</w:t>
      </w:r>
      <w:r>
        <w:rPr>
          <w:rFonts w:ascii="Arial" w:hAnsi="Arial" w:cs="Arial"/>
          <w:i/>
        </w:rPr>
        <w:t xml:space="preserve"> </w:t>
      </w:r>
      <w:r>
        <w:rPr>
          <w:rFonts w:ascii="Arial" w:hAnsi="Arial" w:cs="Arial"/>
        </w:rPr>
        <w:t>The Quick-Check</w:t>
      </w:r>
      <w:r>
        <w:rPr>
          <w:rFonts w:ascii="Arial" w:hAnsi="Arial" w:cs="Arial"/>
          <w:i/>
          <w:vertAlign w:val="superscript"/>
        </w:rPr>
        <w:t>®</w:t>
      </w:r>
      <w:r>
        <w:rPr>
          <w:rFonts w:ascii="Arial" w:hAnsi="Arial" w:cs="Arial"/>
        </w:rPr>
        <w:t xml:space="preserve"> - </w:t>
      </w:r>
      <w:r>
        <w:rPr>
          <w:rFonts w:ascii="Arial" w:hAnsi="Arial" w:cs="Arial"/>
          <w:i/>
        </w:rPr>
        <w:t>Portable Handheld Nitrogen Purity Sensor</w:t>
      </w:r>
      <w:r>
        <w:rPr>
          <w:rFonts w:ascii="Arial" w:hAnsi="Arial" w:cs="Arial"/>
        </w:rPr>
        <w:t xml:space="preserve"> is to be manually connected to the outlet of 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during periodic inspections in order to obtain a quick purity reading of the Nitrogen content within any </w:t>
      </w:r>
      <w:proofErr w:type="gramStart"/>
      <w:r>
        <w:rPr>
          <w:rFonts w:ascii="Arial" w:hAnsi="Arial" w:cs="Arial"/>
        </w:rPr>
        <w:t>particular Zone</w:t>
      </w:r>
      <w:proofErr w:type="gramEnd"/>
      <w:r>
        <w:rPr>
          <w:rFonts w:ascii="Arial" w:hAnsi="Arial" w:cs="Arial"/>
        </w:rPr>
        <w:t>.</w:t>
      </w:r>
      <w:r>
        <w:rPr>
          <w:rFonts w:ascii="Arial" w:hAnsi="Arial" w:cs="Arial"/>
          <w:i/>
        </w:rPr>
        <w:t xml:space="preserve"> </w:t>
      </w:r>
      <w:r>
        <w:rPr>
          <w:rFonts w:ascii="Arial" w:hAnsi="Arial" w:cs="Arial"/>
        </w:rPr>
        <w:t>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provided in either a 1, 6, 10 or 20 zone model, capable of monitoring 1, 6, 10 or 20 individual zones. 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programmed by the manufacturer to monitor the Nitrogen purity within each zone, daily.  If the Nitrogen content within the zones meets the 98% purity spec, the </w:t>
      </w:r>
      <w:proofErr w:type="spellStart"/>
      <w:r>
        <w:rPr>
          <w:rFonts w:ascii="Arial" w:hAnsi="Arial" w:cs="Arial"/>
          <w:i/>
        </w:rPr>
        <w:t>AutoPurge</w:t>
      </w:r>
      <w:proofErr w:type="spellEnd"/>
      <w:r>
        <w:rPr>
          <w:rFonts w:ascii="Arial" w:hAnsi="Arial" w:cs="Arial"/>
          <w:i/>
        </w:rPr>
        <w:t xml:space="preserve"> System/s</w:t>
      </w:r>
      <w:r>
        <w:rPr>
          <w:rFonts w:ascii="Arial" w:hAnsi="Arial" w:cs="Arial"/>
          <w:i/>
          <w:vertAlign w:val="superscript"/>
        </w:rPr>
        <w:t xml:space="preserve"> </w:t>
      </w:r>
      <w:r>
        <w:rPr>
          <w:rFonts w:ascii="Arial" w:hAnsi="Arial" w:cs="Arial"/>
        </w:rPr>
        <w:t xml:space="preserve">will remain closed.  If the Nitrogen purity spec is not met, the </w:t>
      </w:r>
      <w:proofErr w:type="spellStart"/>
      <w:r>
        <w:rPr>
          <w:rFonts w:ascii="Arial" w:hAnsi="Arial" w:cs="Arial"/>
          <w:i/>
        </w:rPr>
        <w:t>AutoPurge</w:t>
      </w:r>
      <w:proofErr w:type="spellEnd"/>
      <w:r>
        <w:rPr>
          <w:rFonts w:ascii="Arial" w:hAnsi="Arial" w:cs="Arial"/>
          <w:i/>
        </w:rPr>
        <w:t xml:space="preserve"> System/s</w:t>
      </w:r>
      <w:r>
        <w:rPr>
          <w:rFonts w:ascii="Arial" w:hAnsi="Arial" w:cs="Arial"/>
        </w:rPr>
        <w:t xml:space="preserve"> shall remain in the “OPEN” position until the Nitrogen purity spec is met.</w:t>
      </w:r>
    </w:p>
    <w:p w14:paraId="332C28CF" w14:textId="77777777" w:rsidR="00202BAA" w:rsidRDefault="00202BAA" w:rsidP="00202BAA">
      <w:pPr>
        <w:jc w:val="both"/>
        <w:rPr>
          <w:rFonts w:ascii="Arial" w:hAnsi="Arial" w:cs="Arial"/>
        </w:rPr>
      </w:pPr>
      <w:r>
        <w:rPr>
          <w:rFonts w:ascii="Arial" w:hAnsi="Arial" w:cs="Arial"/>
        </w:rPr>
        <w:t xml:space="preserve">¼” polyethylene plenum rated tubing shall connect 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to the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(tubing to be provided by the manufacturer).</w:t>
      </w:r>
    </w:p>
    <w:p w14:paraId="40265F3F" w14:textId="77777777" w:rsidR="00202BAA" w:rsidRDefault="00202BAA" w:rsidP="00202BAA">
      <w:pPr>
        <w:pStyle w:val="Subtitle"/>
        <w:spacing w:after="0"/>
        <w:jc w:val="left"/>
        <w:rPr>
          <w:i/>
          <w:iCs/>
        </w:rPr>
      </w:pPr>
    </w:p>
    <w:p w14:paraId="1B20C9C2" w14:textId="77777777" w:rsidR="00202BAA" w:rsidRDefault="00202BAA" w:rsidP="00202BAA">
      <w:pPr>
        <w:pStyle w:val="Heading3"/>
        <w:rPr>
          <w:rFonts w:ascii="Arial" w:hAnsi="Arial" w:cs="Arial"/>
          <w:b/>
          <w:color w:val="auto"/>
        </w:rPr>
      </w:pPr>
      <w:r>
        <w:rPr>
          <w:rFonts w:ascii="Arial" w:hAnsi="Arial" w:cs="Arial"/>
          <w:b/>
          <w:iCs/>
          <w:color w:val="auto"/>
          <w:u w:val="single"/>
        </w:rPr>
        <w:t>Low Air Supervisory Pressure Switch</w:t>
      </w:r>
    </w:p>
    <w:p w14:paraId="53E8D118" w14:textId="77777777" w:rsidR="00202BAA" w:rsidRDefault="00202BAA" w:rsidP="00202BAA">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w:t>
      </w:r>
      <w:bookmarkStart w:id="0" w:name="OLE_LINK1"/>
      <w:bookmarkStart w:id="1" w:name="OLE_LINK2"/>
      <w:r>
        <w:rPr>
          <w:rFonts w:ascii="Arial" w:hAnsi="Arial" w:cs="Arial"/>
        </w:rPr>
        <w:t xml:space="preserve">low air supervisory </w:t>
      </w:r>
      <w:bookmarkEnd w:id="0"/>
      <w:bookmarkEnd w:id="1"/>
      <w:r>
        <w:rPr>
          <w:rFonts w:ascii="Arial" w:hAnsi="Arial" w:cs="Arial"/>
        </w:rPr>
        <w:t xml:space="preserve">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25AA79B6" w14:textId="77777777" w:rsidR="00202BAA" w:rsidRDefault="00202BAA" w:rsidP="00202BAA">
      <w:pPr>
        <w:tabs>
          <w:tab w:val="left" w:pos="2775"/>
        </w:tabs>
        <w:rPr>
          <w:rFonts w:ascii="Arial" w:hAnsi="Arial" w:cs="Arial"/>
        </w:rPr>
      </w:pPr>
    </w:p>
    <w:p w14:paraId="180BF57D" w14:textId="77777777" w:rsidR="00202BAA" w:rsidRDefault="00202BAA" w:rsidP="00202BAA">
      <w:pPr>
        <w:pStyle w:val="Heading3"/>
        <w:rPr>
          <w:rFonts w:ascii="Arial" w:hAnsi="Arial" w:cs="Arial"/>
          <w:b/>
          <w:color w:val="auto"/>
        </w:rPr>
      </w:pPr>
      <w:r>
        <w:rPr>
          <w:rFonts w:ascii="Arial" w:hAnsi="Arial" w:cs="Arial"/>
          <w:b/>
          <w:iCs/>
          <w:color w:val="auto"/>
          <w:u w:val="single"/>
        </w:rPr>
        <w:t>Waterflow Pressure Switch</w:t>
      </w:r>
    </w:p>
    <w:p w14:paraId="1DD582FF" w14:textId="77777777" w:rsidR="00202BAA" w:rsidRDefault="00202BAA" w:rsidP="00202BAA">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The switch shall be a field-adjustable, bellows-activated type pressure switch compatible with system devices.  The pressure switch shall have the capability to provide alarm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230F2829" w14:textId="77777777" w:rsidR="00202BAA" w:rsidRDefault="00202BAA" w:rsidP="00202BAA">
      <w:pPr>
        <w:pStyle w:val="Subtitle"/>
        <w:spacing w:after="0"/>
        <w:jc w:val="left"/>
      </w:pPr>
    </w:p>
    <w:p w14:paraId="1784773A" w14:textId="77777777" w:rsidR="00202BAA" w:rsidRDefault="00202BAA" w:rsidP="00202BAA">
      <w:pPr>
        <w:pStyle w:val="Subtitle"/>
        <w:spacing w:after="0"/>
        <w:jc w:val="left"/>
      </w:pPr>
      <w:r>
        <w:rPr>
          <w:b/>
          <w:bCs/>
          <w:iCs/>
          <w:u w:val="single"/>
        </w:rPr>
        <w:lastRenderedPageBreak/>
        <w:t>Pressure Maintenance Device</w:t>
      </w:r>
    </w:p>
    <w:p w14:paraId="4FDEA6BD" w14:textId="77777777" w:rsidR="00202BAA" w:rsidRDefault="00202BAA" w:rsidP="00202BAA">
      <w:pPr>
        <w:pStyle w:val="Subtitle"/>
        <w:spacing w:after="0"/>
        <w:jc w:val="both"/>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2BAF831E" w14:textId="77777777" w:rsidR="00202BAA" w:rsidRDefault="00202BAA" w:rsidP="00202BAA">
      <w:pPr>
        <w:rPr>
          <w:rFonts w:ascii="Arial" w:hAnsi="Arial" w:cs="Arial"/>
        </w:rPr>
      </w:pPr>
    </w:p>
    <w:p w14:paraId="0745E34E" w14:textId="77777777" w:rsidR="00202BAA" w:rsidRDefault="00202BAA" w:rsidP="00202BAA">
      <w:pPr>
        <w:rPr>
          <w:rFonts w:ascii="Arial" w:hAnsi="Arial" w:cs="Arial"/>
        </w:rPr>
      </w:pPr>
      <w:r>
        <w:rPr>
          <w:rFonts w:ascii="Arial" w:hAnsi="Arial" w:cs="Arial"/>
          <w:b/>
          <w:bCs/>
          <w:u w:val="single"/>
        </w:rPr>
        <w:t>Mechanical Accelerator</w:t>
      </w:r>
      <w:r>
        <w:rPr>
          <w:rFonts w:ascii="Arial" w:hAnsi="Arial" w:cs="Arial"/>
          <w:b/>
          <w:bCs/>
        </w:rPr>
        <w:t xml:space="preserve"> (Optional)</w:t>
      </w:r>
    </w:p>
    <w:p w14:paraId="1F2DCCCD" w14:textId="77777777" w:rsidR="00202BAA" w:rsidRDefault="00202BAA" w:rsidP="00202BAA">
      <w:pPr>
        <w:jc w:val="both"/>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3B16A76B" w14:textId="77777777" w:rsidR="00202BAA" w:rsidRDefault="00202BAA" w:rsidP="00202BAA">
      <w:pPr>
        <w:rPr>
          <w:rFonts w:ascii="Arial" w:hAnsi="Arial" w:cs="Arial"/>
        </w:rPr>
      </w:pPr>
    </w:p>
    <w:p w14:paraId="6F2190A1" w14:textId="77777777" w:rsidR="00202BAA" w:rsidRDefault="00202BAA" w:rsidP="00202BAA">
      <w:pPr>
        <w:rPr>
          <w:rFonts w:ascii="Arial" w:hAnsi="Arial" w:cs="Arial"/>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75B66BBE" w14:textId="77777777" w:rsidR="00202BAA" w:rsidRDefault="00202BAA" w:rsidP="00202BAA">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72505095" w14:textId="77777777" w:rsidR="00202BAA" w:rsidRDefault="00202BAA" w:rsidP="00202BAA">
      <w:pPr>
        <w:rPr>
          <w:rFonts w:ascii="Arial" w:hAnsi="Arial" w:cs="Arial"/>
        </w:rPr>
      </w:pPr>
    </w:p>
    <w:p w14:paraId="0E304803" w14:textId="77777777" w:rsidR="00202BAA" w:rsidRDefault="00202BAA" w:rsidP="00202BAA">
      <w:pPr>
        <w:pStyle w:val="Heading3"/>
        <w:rPr>
          <w:rFonts w:ascii="Arial" w:hAnsi="Arial" w:cs="Arial"/>
          <w:b/>
          <w:iCs/>
          <w:color w:val="auto"/>
          <w:u w:val="single"/>
        </w:rPr>
      </w:pPr>
      <w:r>
        <w:rPr>
          <w:rFonts w:ascii="Arial" w:hAnsi="Arial" w:cs="Arial"/>
          <w:b/>
          <w:iCs/>
          <w:color w:val="auto"/>
          <w:u w:val="single"/>
        </w:rPr>
        <w:t>Sprinklers</w:t>
      </w:r>
    </w:p>
    <w:p w14:paraId="6D475382" w14:textId="77777777" w:rsidR="00202BAA" w:rsidRDefault="00202BAA" w:rsidP="00202BAA">
      <w:pPr>
        <w:rPr>
          <w:rFonts w:ascii="Arial" w:hAnsi="Arial" w:cs="Arial"/>
        </w:rPr>
      </w:pPr>
      <w:r>
        <w:rPr>
          <w:rFonts w:ascii="Arial" w:hAnsi="Arial" w:cs="Arial"/>
        </w:rPr>
        <w:t>Insert applicable sprinkler specifications here.</w:t>
      </w:r>
    </w:p>
    <w:p w14:paraId="645B99CF" w14:textId="77777777" w:rsidR="00202BAA" w:rsidRDefault="00202BAA" w:rsidP="00202BAA">
      <w:pPr>
        <w:rPr>
          <w:rFonts w:ascii="Arial" w:hAnsi="Arial" w:cs="Arial"/>
        </w:rPr>
      </w:pPr>
    </w:p>
    <w:p w14:paraId="458B15EE" w14:textId="77777777" w:rsidR="00503254" w:rsidRPr="00202BAA" w:rsidRDefault="00503254" w:rsidP="00202BAA"/>
    <w:sectPr w:rsidR="00503254" w:rsidRPr="00202BAA"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C9A9" w14:textId="77777777" w:rsidR="00B7281A" w:rsidRDefault="00B7281A">
      <w:r>
        <w:separator/>
      </w:r>
    </w:p>
  </w:endnote>
  <w:endnote w:type="continuationSeparator" w:id="0">
    <w:p w14:paraId="7CDFB0D1" w14:textId="77777777" w:rsidR="00B7281A" w:rsidRDefault="00B7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CA65" w14:textId="77777777" w:rsidR="00B7281A" w:rsidRDefault="00B7281A">
      <w:r>
        <w:separator/>
      </w:r>
    </w:p>
  </w:footnote>
  <w:footnote w:type="continuationSeparator" w:id="0">
    <w:p w14:paraId="45879E74" w14:textId="77777777" w:rsidR="00B7281A" w:rsidRDefault="00B7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4D48"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2064F"/>
    <w:rsid w:val="00130ACD"/>
    <w:rsid w:val="001376BF"/>
    <w:rsid w:val="00151F53"/>
    <w:rsid w:val="001533B4"/>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4FAD"/>
    <w:rsid w:val="006450BF"/>
    <w:rsid w:val="00653FBE"/>
    <w:rsid w:val="00661C03"/>
    <w:rsid w:val="00666F27"/>
    <w:rsid w:val="00672FEC"/>
    <w:rsid w:val="00687BB2"/>
    <w:rsid w:val="00695881"/>
    <w:rsid w:val="006B27F0"/>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27548"/>
    <w:rsid w:val="00847C8F"/>
    <w:rsid w:val="008604C8"/>
    <w:rsid w:val="00870967"/>
    <w:rsid w:val="0088442C"/>
    <w:rsid w:val="00887126"/>
    <w:rsid w:val="00890C79"/>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7281A"/>
    <w:rsid w:val="00B807EB"/>
    <w:rsid w:val="00B84ABB"/>
    <w:rsid w:val="00BA544C"/>
    <w:rsid w:val="00BA6E8A"/>
    <w:rsid w:val="00BD079E"/>
    <w:rsid w:val="00C06636"/>
    <w:rsid w:val="00C2464B"/>
    <w:rsid w:val="00C3341A"/>
    <w:rsid w:val="00C42374"/>
    <w:rsid w:val="00C56B59"/>
    <w:rsid w:val="00C630BC"/>
    <w:rsid w:val="00C70728"/>
    <w:rsid w:val="00C7133C"/>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5185F"/>
    <w:rsid w:val="00E87AF5"/>
    <w:rsid w:val="00EB5E3D"/>
    <w:rsid w:val="00EE4346"/>
    <w:rsid w:val="00EF7A4E"/>
    <w:rsid w:val="00EF7C5F"/>
    <w:rsid w:val="00F04F02"/>
    <w:rsid w:val="00F13A7B"/>
    <w:rsid w:val="00F22172"/>
    <w:rsid w:val="00F318F9"/>
    <w:rsid w:val="00F443DB"/>
    <w:rsid w:val="00F50FA8"/>
    <w:rsid w:val="00F71431"/>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2</TotalTime>
  <Pages>5</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16616</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2023-09-05T15:19:00Z</dcterms:created>
  <dcterms:modified xsi:type="dcterms:W3CDTF">2023-09-05T15:19:00Z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